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3E" w:rsidRPr="00CA3E13" w:rsidRDefault="00324AC9" w:rsidP="00B67507">
      <w:pPr>
        <w:spacing w:before="60" w:after="0" w:line="240" w:lineRule="auto"/>
        <w:jc w:val="center"/>
        <w:rPr>
          <w:rFonts w:ascii="Arial" w:hAnsi="Arial" w:cs="Arial"/>
          <w:bCs/>
          <w:sz w:val="28"/>
          <w:szCs w:val="28"/>
          <w:lang w:val="fr-FR"/>
        </w:rPr>
      </w:pPr>
      <w:r w:rsidRPr="00CA3E13">
        <w:rPr>
          <w:rFonts w:ascii="Arial" w:hAnsi="Arial" w:cs="Arial"/>
          <w:bCs/>
          <w:sz w:val="28"/>
          <w:szCs w:val="28"/>
          <w:lang w:val="fr-FR"/>
        </w:rPr>
        <w:t>PETROLUL ŞI GAZELE NATURALE – SURSE DE MATERII PRIME ORGANICE</w:t>
      </w:r>
    </w:p>
    <w:p w:rsidR="00324AC9" w:rsidRPr="00CA3E13" w:rsidRDefault="00324AC9" w:rsidP="00B67507">
      <w:pPr>
        <w:spacing w:before="60" w:after="0" w:line="240" w:lineRule="auto"/>
        <w:jc w:val="center"/>
        <w:rPr>
          <w:rFonts w:ascii="Arial" w:hAnsi="Arial" w:cs="Arial"/>
          <w:bCs/>
          <w:sz w:val="24"/>
          <w:szCs w:val="24"/>
          <w:lang w:val="fr-FR"/>
        </w:rPr>
      </w:pPr>
    </w:p>
    <w:p w:rsidR="00C37137" w:rsidRPr="00CA3E13" w:rsidRDefault="00C37137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Petrolul sau ţiţeiul constituie principala sursă de hidrocarburi şi se găseşte în zăcăminte, de unde se extrage.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CA3E13">
        <w:rPr>
          <w:rFonts w:ascii="Arial" w:hAnsi="Arial" w:cs="Arial"/>
          <w:bCs/>
          <w:sz w:val="24"/>
          <w:szCs w:val="24"/>
          <w:lang w:val="fr-FR"/>
        </w:rPr>
        <w:t>Petrolul a fost cunoscut din antichitate ; se aminteşte de o sursă de petrol în Persia, existe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>ntă în jurul anului 460 î. Hr.</w:t>
      </w:r>
      <w:r w:rsidR="00D53C20">
        <w:rPr>
          <w:rFonts w:ascii="Arial" w:hAnsi="Arial" w:cs="Arial"/>
          <w:bCs/>
          <w:sz w:val="24"/>
          <w:szCs w:val="24"/>
          <w:lang w:val="fr-FR"/>
        </w:rPr>
        <w:t xml:space="preserve">, iar un manuscris chinez din anul 221 </w:t>
      </w:r>
      <w:r w:rsidR="00D53C20">
        <w:rPr>
          <w:rFonts w:ascii="Arial" w:hAnsi="Arial" w:cs="Arial"/>
          <w:bCs/>
          <w:sz w:val="24"/>
          <w:szCs w:val="24"/>
          <w:lang w:val="ro-RO"/>
        </w:rPr>
        <w:t>î.Hr.</w:t>
      </w:r>
      <w:r w:rsidR="007D49E2" w:rsidRPr="00CA3E13">
        <w:rPr>
          <w:rFonts w:ascii="Arial" w:hAnsi="Arial" w:cs="Arial"/>
          <w:bCs/>
          <w:sz w:val="24"/>
          <w:szCs w:val="24"/>
          <w:lang w:val="fr-FR"/>
        </w:rPr>
        <w:t xml:space="preserve"> c</w:t>
      </w:r>
      <w:r w:rsidRPr="00CA3E13">
        <w:rPr>
          <w:rFonts w:ascii="Arial" w:hAnsi="Arial" w:cs="Arial"/>
          <w:bCs/>
          <w:sz w:val="24"/>
          <w:szCs w:val="24"/>
          <w:lang w:val="fr-FR"/>
        </w:rPr>
        <w:t>onţine informaţii despre foraje de petrol. Egiptenii foloseau asfaltul natural la îmbălsămări.</w:t>
      </w:r>
    </w:p>
    <w:p w:rsidR="007B30C9" w:rsidRPr="00CA3E13" w:rsidRDefault="006138E1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În legătură cu formarea petrolului în scoarţa terestră s-au emis diferite ipoteze. </w:t>
      </w:r>
      <w:r w:rsidR="00D50E92" w:rsidRPr="00CA3E13">
        <w:rPr>
          <w:rFonts w:ascii="Arial" w:hAnsi="Arial" w:cs="Arial"/>
          <w:bCs/>
          <w:sz w:val="24"/>
          <w:szCs w:val="24"/>
          <w:lang w:val="fr-FR"/>
        </w:rPr>
        <w:t xml:space="preserve">Una dintre acestea, acceptată astăzi, </w:t>
      </w:r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este cea a geologului român </w:t>
      </w:r>
      <w:r w:rsidR="00497300">
        <w:rPr>
          <w:rFonts w:ascii="Arial" w:hAnsi="Arial" w:cs="Arial"/>
          <w:bCs/>
          <w:sz w:val="24"/>
          <w:szCs w:val="24"/>
          <w:lang w:val="fr-FR"/>
        </w:rPr>
        <w:t>L. Mrazec (1907), care considera</w:t>
      </w:r>
      <w:r w:rsidR="003671C4" w:rsidRPr="00CA3E13">
        <w:rPr>
          <w:rFonts w:ascii="Arial" w:hAnsi="Arial" w:cs="Arial"/>
          <w:bCs/>
          <w:sz w:val="24"/>
          <w:szCs w:val="24"/>
          <w:lang w:val="fr-FR"/>
        </w:rPr>
        <w:t xml:space="preserve"> că zăcămintele de petrol s-au format</w:t>
      </w:r>
      <w:r w:rsidR="00EE5E7F" w:rsidRPr="00CA3E13">
        <w:rPr>
          <w:rFonts w:ascii="Arial" w:hAnsi="Arial" w:cs="Arial"/>
          <w:bCs/>
          <w:sz w:val="24"/>
          <w:szCs w:val="24"/>
          <w:lang w:val="fr-FR"/>
        </w:rPr>
        <w:t xml:space="preserve"> prin descompunerea anaerobă (în absenţa aerului) a unor organisme animale şi vegetale provenite din planctonul marin. </w:t>
      </w:r>
    </w:p>
    <w:p w:rsidR="00C37137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Produsele de degradare s-au depus pe fundul unor mări interioare şi al lagunelor, unde, printr-un proces lent şi îndelungat, în cursul erelor geologice, în mediu reducător şi sub acţiunea catalitică a rocilor înconjurătoare, s-a desăvârşit formarea petrolului.</w:t>
      </w:r>
    </w:p>
    <w:p w:rsidR="00F3122D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Zăcămintele de petrol exploatabile se găsesc la adâncimi variind de la câteva sute de metri la peste 4000 metri. Petrolul se găseşte îmbibat într-o rocă permeabilă (pietriş), între două straturi impermeabile.</w:t>
      </w:r>
    </w:p>
    <w:p w:rsidR="00C72968" w:rsidRPr="00CA3E13" w:rsidRDefault="00FE0A48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ro-RO" w:eastAsia="ro-RO"/>
        </w:rPr>
        <w:drawing>
          <wp:inline distT="0" distB="0" distL="0" distR="0">
            <wp:extent cx="3600450" cy="36004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C02" w:rsidRPr="00CA3E13" w:rsidRDefault="00F0729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Compoziţia petrolului</w:t>
      </w:r>
    </w:p>
    <w:p w:rsidR="00694C02" w:rsidRPr="00CA3E13" w:rsidRDefault="007B30C9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Primele cercetări legate de cunoaşterea </w:t>
      </w:r>
      <w:r w:rsidR="00497300">
        <w:rPr>
          <w:rFonts w:ascii="Arial" w:hAnsi="Arial" w:cs="Arial"/>
          <w:bCs/>
          <w:sz w:val="24"/>
          <w:szCs w:val="24"/>
          <w:lang w:val="fr-FR"/>
        </w:rPr>
        <w:t>compzi</w:t>
      </w:r>
      <w:r w:rsidR="00497300">
        <w:rPr>
          <w:rFonts w:ascii="Arial" w:hAnsi="Arial" w:cs="Arial"/>
          <w:bCs/>
          <w:sz w:val="24"/>
          <w:szCs w:val="24"/>
          <w:lang w:val="ro-RO"/>
        </w:rPr>
        <w:t xml:space="preserve">ţiei </w:t>
      </w: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petrolului românesc </w:t>
      </w:r>
      <w:r w:rsidR="00C213D8" w:rsidRPr="00CA3E13">
        <w:rPr>
          <w:rFonts w:ascii="Arial" w:hAnsi="Arial" w:cs="Arial"/>
          <w:bCs/>
          <w:sz w:val="24"/>
          <w:szCs w:val="24"/>
          <w:lang w:val="fr-FR"/>
        </w:rPr>
        <w:t>au fost iniţiate la sfârşitul secolului trecut de către Petru Poni (1841 - 1925) la Iaşi, care a izolat anumiţi termeni ai seriilor de hidrocarburi din petrol.</w:t>
      </w:r>
      <w:r w:rsidR="000925D4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Petrolul este un amestec </w:t>
      </w:r>
      <w:r w:rsidR="00497300">
        <w:rPr>
          <w:rFonts w:ascii="Arial" w:hAnsi="Arial" w:cs="Arial"/>
          <w:bCs/>
          <w:sz w:val="24"/>
          <w:szCs w:val="24"/>
          <w:lang w:val="fr-FR"/>
        </w:rPr>
        <w:t>complex</w:t>
      </w:r>
      <w:r w:rsidR="00C213D8" w:rsidRPr="00CA3E13">
        <w:rPr>
          <w:rFonts w:ascii="Arial" w:hAnsi="Arial" w:cs="Arial"/>
          <w:bCs/>
          <w:sz w:val="24"/>
          <w:szCs w:val="24"/>
          <w:lang w:val="fr-FR"/>
        </w:rPr>
        <w:t xml:space="preserve"> de hidrocarburi gazoase şi solide, dizolvate în hidrocarburi lichide</w:t>
      </w:r>
      <w:r w:rsidR="00CA5245" w:rsidRPr="00CA3E13">
        <w:rPr>
          <w:rFonts w:ascii="Arial" w:hAnsi="Arial" w:cs="Arial"/>
          <w:bCs/>
          <w:sz w:val="24"/>
          <w:szCs w:val="24"/>
          <w:lang w:val="fr-FR"/>
        </w:rPr>
        <w:t xml:space="preserve">. Hidrocarburile frecvent întâlnite în compoziţia petrolului aparţin în general seriei alcanilor, cicloalcanilor (naftene) şi arenelor. </w:t>
      </w:r>
    </w:p>
    <w:p w:rsidR="00C213D8" w:rsidRPr="00CA3E13" w:rsidRDefault="00CA5245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Alchenele şi alchinele mai reactive lipsesc din petrol. Pe lângă</w:t>
      </w:r>
      <w:r w:rsidR="00885AA0" w:rsidRPr="00CA3E13">
        <w:rPr>
          <w:rFonts w:ascii="Arial" w:hAnsi="Arial" w:cs="Arial"/>
          <w:bCs/>
          <w:sz w:val="24"/>
          <w:szCs w:val="24"/>
          <w:lang w:val="fr-FR"/>
        </w:rPr>
        <w:t xml:space="preserve"> hidrocarburile menţionate, în petrol mai apar şi compuşi organici cu oxigen, azot </w:t>
      </w:r>
      <w:r w:rsidR="00885AA0" w:rsidRPr="00CA3E13">
        <w:rPr>
          <w:rFonts w:ascii="Arial" w:hAnsi="Arial" w:cs="Arial"/>
          <w:bCs/>
          <w:sz w:val="24"/>
          <w:szCs w:val="24"/>
          <w:lang w:val="fr-FR"/>
        </w:rPr>
        <w:lastRenderedPageBreak/>
        <w:t>sau sulf, în cantităţi foarte mici. Sulful trebuie îndepărtat în cursul prelucrării petrolului, deoarece prin ardere rezultă dioxid de sulf (un gaz coroziv).</w:t>
      </w:r>
    </w:p>
    <w:p w:rsidR="00694C02" w:rsidRPr="00CA3E13" w:rsidRDefault="003E25A7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În funcţie de locul zăcământului şi de condiţiile </w:t>
      </w:r>
      <w:r w:rsidR="00103FFE" w:rsidRPr="00CA3E13">
        <w:rPr>
          <w:rFonts w:ascii="Arial" w:hAnsi="Arial" w:cs="Arial"/>
          <w:bCs/>
          <w:sz w:val="24"/>
          <w:szCs w:val="24"/>
          <w:lang w:val="fr-FR"/>
        </w:rPr>
        <w:t>în care acesta s-a format, în compoziţia petrolului</w:t>
      </w:r>
      <w:r w:rsidR="00CA550A" w:rsidRPr="00CA3E13">
        <w:rPr>
          <w:rFonts w:ascii="Arial" w:hAnsi="Arial" w:cs="Arial"/>
          <w:bCs/>
          <w:sz w:val="24"/>
          <w:szCs w:val="24"/>
          <w:lang w:val="fr-FR"/>
        </w:rPr>
        <w:t xml:space="preserve"> pot predomina una sau alta dintre aceste clase de hidrocarburi. 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Cracarea este procesul în care au loc ruperi ale unor legături simple C-C din alcani şi cicloalcani. Cracarea poate fi termică sau catalitică.</w:t>
      </w:r>
    </w:p>
    <w:p w:rsidR="002C6572" w:rsidRPr="00CA3E13" w:rsidRDefault="002C6572" w:rsidP="00F14A26">
      <w:pPr>
        <w:spacing w:before="60"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Materii prime </w:t>
      </w:r>
      <w:r w:rsidRPr="00CA3E13">
        <w:rPr>
          <w:rFonts w:ascii="Arial" w:hAnsi="Arial" w:cs="Arial"/>
          <w:bCs/>
          <w:sz w:val="24"/>
          <w:szCs w:val="24"/>
          <w:lang w:val="ro-RO"/>
        </w:rPr>
        <w:t>şi produşi rezultaţi</w:t>
      </w:r>
      <w:r w:rsidRPr="00CA3E13">
        <w:rPr>
          <w:rFonts w:ascii="Arial" w:hAnsi="Arial" w:cs="Arial"/>
          <w:bCs/>
          <w:sz w:val="24"/>
          <w:szCs w:val="24"/>
          <w:lang w:val="it-IT"/>
        </w:rPr>
        <w:t>: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Materiile prime folosite la cracarea termică sunt motorina şi păcura, iar produşii rezultaţi sunt 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alcani;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alchene inf</w:t>
      </w:r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erioare, numite gaze de cracare</w:t>
      </w:r>
      <w:r w:rsidR="008445CD" w:rsidRPr="00CA3E13">
        <w:rPr>
          <w:rFonts w:ascii="Arial" w:hAnsi="Arial" w:cs="Arial"/>
          <w:bCs/>
          <w:sz w:val="24"/>
          <w:szCs w:val="24"/>
          <w:lang w:val="it-IT"/>
        </w:rPr>
        <w:t>;</w:t>
      </w:r>
    </w:p>
    <w:p w:rsidR="002C6572" w:rsidRPr="00CA3E13" w:rsidRDefault="008445CD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benzină de cracare;</w:t>
      </w:r>
    </w:p>
    <w:p w:rsidR="002C6572" w:rsidRPr="00CA3E13" w:rsidRDefault="002C6572" w:rsidP="002C6572">
      <w:pPr>
        <w:numPr>
          <w:ilvl w:val="0"/>
          <w:numId w:val="8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cocs petrolier.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Cracarea catalitică foloseşte în special motorina ca materie primă. Se obţin </w:t>
      </w:r>
    </w:p>
    <w:p w:rsidR="002C6572" w:rsidRPr="00CA3E13" w:rsidRDefault="008445CD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gaze de rafinărie;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benzină mai bună decât cea obţinută prin cracarea termică</w:t>
      </w:r>
      <w:r w:rsidR="008445CD" w:rsidRPr="00CA3E13">
        <w:rPr>
          <w:rFonts w:ascii="Arial" w:hAnsi="Arial" w:cs="Arial"/>
          <w:bCs/>
          <w:sz w:val="24"/>
          <w:szCs w:val="24"/>
          <w:lang w:val="fr-FR"/>
        </w:rPr>
        <w:t>;</w:t>
      </w:r>
    </w:p>
    <w:p w:rsidR="002C6572" w:rsidRPr="00CA3E13" w:rsidRDefault="002C6572" w:rsidP="002C6572">
      <w:pPr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cocs petrolier.</w:t>
      </w:r>
    </w:p>
    <w:p w:rsidR="002C6572" w:rsidRPr="00CA3E13" w:rsidRDefault="002C6572" w:rsidP="002C6572">
      <w:pPr>
        <w:numPr>
          <w:ilvl w:val="1"/>
          <w:numId w:val="6"/>
        </w:numPr>
        <w:tabs>
          <w:tab w:val="clear" w:pos="2574"/>
          <w:tab w:val="num" w:pos="180"/>
        </w:tabs>
        <w:spacing w:before="60" w:after="0" w:line="240" w:lineRule="auto"/>
        <w:ind w:left="1080" w:hanging="540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Gazele naturale, care însoţesc în general zăcămintele de petrol, sunt o sursă de materii prime pentru obţinerea de produse: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Îngrăşăminte;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 xml:space="preserve">mase plastice; 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cauciuc cloroprenic;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acetilenă, metanol, formaldehidă;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solvenţi;</w:t>
      </w:r>
    </w:p>
    <w:p w:rsidR="002C6572" w:rsidRPr="00CA3E13" w:rsidRDefault="002C6572" w:rsidP="002C6572">
      <w:pPr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CA3E13">
        <w:rPr>
          <w:rFonts w:ascii="Arial" w:hAnsi="Arial" w:cs="Arial"/>
          <w:bCs/>
          <w:sz w:val="24"/>
          <w:szCs w:val="24"/>
          <w:lang w:val="fr-FR"/>
        </w:rPr>
        <w:t>hidrogen etc.</w:t>
      </w:r>
    </w:p>
    <w:p w:rsidR="002C6572" w:rsidRPr="00CA3E13" w:rsidRDefault="002C6572" w:rsidP="00A32332">
      <w:pPr>
        <w:spacing w:before="60"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"/>
        <w:gridCol w:w="2433"/>
        <w:gridCol w:w="1854"/>
        <w:gridCol w:w="3385"/>
      </w:tblGrid>
      <w:tr w:rsidR="000925D4" w:rsidRPr="000925D4">
        <w:tc>
          <w:tcPr>
            <w:tcW w:w="601" w:type="pct"/>
          </w:tcPr>
          <w:p w:rsidR="000925D4" w:rsidRPr="000925D4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Nr. Crt.</w:t>
            </w:r>
          </w:p>
        </w:tc>
        <w:tc>
          <w:tcPr>
            <w:tcW w:w="1395" w:type="pct"/>
          </w:tcPr>
          <w:p w:rsidR="000925D4" w:rsidRPr="000925D4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Fracţiuni de distilare primară</w:t>
            </w:r>
          </w:p>
        </w:tc>
        <w:tc>
          <w:tcPr>
            <w:tcW w:w="1063" w:type="pct"/>
          </w:tcPr>
          <w:p w:rsidR="000925D4" w:rsidRPr="000925D4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Numărul atomilor de carbon</w:t>
            </w:r>
          </w:p>
        </w:tc>
        <w:tc>
          <w:tcPr>
            <w:tcW w:w="1941" w:type="pct"/>
          </w:tcPr>
          <w:p w:rsidR="000925D4" w:rsidRPr="000925D4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fr-FR"/>
              </w:rPr>
            </w:pPr>
            <w:r w:rsidRPr="000925D4">
              <w:rPr>
                <w:rFonts w:ascii="Arial" w:hAnsi="Arial" w:cs="Arial"/>
                <w:bCs/>
                <w:sz w:val="28"/>
                <w:szCs w:val="28"/>
                <w:lang w:val="fr-FR"/>
              </w:rPr>
              <w:t>Intervalul de temperatură</w:t>
            </w:r>
          </w:p>
        </w:tc>
      </w:tr>
      <w:tr w:rsidR="000925D4" w:rsidRPr="00CA3E13">
        <w:tc>
          <w:tcPr>
            <w:tcW w:w="60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1395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Benzine</w:t>
            </w:r>
          </w:p>
        </w:tc>
        <w:tc>
          <w:tcPr>
            <w:tcW w:w="1063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5…10</w:t>
            </w:r>
          </w:p>
        </w:tc>
        <w:tc>
          <w:tcPr>
            <w:tcW w:w="194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25-170 ºC</w:t>
            </w:r>
          </w:p>
        </w:tc>
      </w:tr>
      <w:tr w:rsidR="000925D4" w:rsidRPr="00CA3E13">
        <w:tc>
          <w:tcPr>
            <w:tcW w:w="60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1395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Petrol lampant</w:t>
            </w:r>
          </w:p>
        </w:tc>
        <w:tc>
          <w:tcPr>
            <w:tcW w:w="1063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10…15</w:t>
            </w:r>
          </w:p>
        </w:tc>
        <w:tc>
          <w:tcPr>
            <w:tcW w:w="194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170-270 ºC</w:t>
            </w:r>
          </w:p>
        </w:tc>
      </w:tr>
      <w:tr w:rsidR="000925D4" w:rsidRPr="00CA3E13">
        <w:tc>
          <w:tcPr>
            <w:tcW w:w="60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1395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Motorină</w:t>
            </w:r>
          </w:p>
        </w:tc>
        <w:tc>
          <w:tcPr>
            <w:tcW w:w="1063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12…20</w:t>
            </w:r>
          </w:p>
        </w:tc>
        <w:tc>
          <w:tcPr>
            <w:tcW w:w="194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270-360 ºC</w:t>
            </w:r>
          </w:p>
        </w:tc>
      </w:tr>
      <w:tr w:rsidR="000925D4" w:rsidRPr="00CA3E13">
        <w:tc>
          <w:tcPr>
            <w:tcW w:w="60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1395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Păcură</w:t>
            </w:r>
          </w:p>
        </w:tc>
        <w:tc>
          <w:tcPr>
            <w:tcW w:w="1063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  <w:r w:rsidRPr="00CA3E13">
              <w:rPr>
                <w:rFonts w:ascii="Arial" w:hAnsi="Arial" w:cs="Arial"/>
                <w:bCs/>
                <w:sz w:val="24"/>
                <w:szCs w:val="24"/>
                <w:lang w:val="fr-FR"/>
              </w:rPr>
              <w:t>&gt;20</w:t>
            </w:r>
          </w:p>
        </w:tc>
        <w:tc>
          <w:tcPr>
            <w:tcW w:w="1941" w:type="pct"/>
          </w:tcPr>
          <w:p w:rsidR="000925D4" w:rsidRPr="00CA3E13" w:rsidRDefault="000925D4" w:rsidP="00FF4A33">
            <w:pPr>
              <w:spacing w:before="60"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fr-FR"/>
              </w:rPr>
            </w:pPr>
          </w:p>
        </w:tc>
      </w:tr>
    </w:tbl>
    <w:p w:rsidR="00D92A0B" w:rsidRPr="00CA3E13" w:rsidRDefault="00F07295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(Adaptat după </w:t>
      </w:r>
      <w:r w:rsidRPr="000925D4">
        <w:rPr>
          <w:rFonts w:ascii="Arial" w:hAnsi="Arial" w:cs="Arial"/>
          <w:bCs/>
          <w:i/>
          <w:iCs/>
          <w:sz w:val="24"/>
          <w:szCs w:val="24"/>
          <w:lang w:val="pt-BR"/>
        </w:rPr>
        <w:t>Manualul de Chimie</w:t>
      </w:r>
      <w:r w:rsidRPr="000925D4">
        <w:rPr>
          <w:rFonts w:ascii="Arial" w:hAnsi="Arial" w:cs="Arial"/>
          <w:bCs/>
          <w:i/>
          <w:sz w:val="24"/>
          <w:szCs w:val="24"/>
          <w:lang w:val="ro-RO"/>
        </w:rPr>
        <w:t xml:space="preserve">, </w:t>
      </w:r>
      <w:r w:rsidRPr="000925D4">
        <w:rPr>
          <w:rFonts w:ascii="Arial" w:hAnsi="Arial" w:cs="Arial"/>
          <w:bCs/>
          <w:i/>
          <w:sz w:val="24"/>
          <w:szCs w:val="24"/>
          <w:lang w:val="pt-BR"/>
        </w:rPr>
        <w:t>clasa a X-a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, </w:t>
      </w:r>
      <w:r w:rsidRPr="00CA3E13">
        <w:rPr>
          <w:rFonts w:ascii="Arial" w:hAnsi="Arial" w:cs="Arial"/>
          <w:bCs/>
          <w:sz w:val="24"/>
          <w:szCs w:val="24"/>
          <w:lang w:val="ro-RO"/>
        </w:rPr>
        <w:t>Rodica Constantinescu, Maria-Luiza Popescu)</w:t>
      </w:r>
      <w:r w:rsidRPr="00CA3E13">
        <w:rPr>
          <w:rFonts w:ascii="Arial" w:hAnsi="Arial" w:cs="Arial"/>
          <w:bCs/>
          <w:sz w:val="24"/>
          <w:szCs w:val="24"/>
          <w:lang w:val="pt-BR"/>
        </w:rPr>
        <w:t xml:space="preserve"> </w:t>
      </w:r>
    </w:p>
    <w:p w:rsidR="002C6572" w:rsidRPr="00CA3E13" w:rsidRDefault="002C6572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pt-BR"/>
        </w:rPr>
      </w:pPr>
    </w:p>
    <w:p w:rsidR="002C6572" w:rsidRPr="00CA3E13" w:rsidRDefault="002C6572" w:rsidP="002C6572">
      <w:pPr>
        <w:spacing w:before="60"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:rsidR="002C6572" w:rsidRPr="00CA3E13" w:rsidRDefault="002C6572" w:rsidP="002C6572">
      <w:pPr>
        <w:spacing w:before="60"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:rsidR="002C6572" w:rsidRPr="00CA3E13" w:rsidRDefault="002C6572" w:rsidP="002C6572">
      <w:pPr>
        <w:spacing w:before="60"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:rsidR="002C6572" w:rsidRPr="00CA3E13" w:rsidRDefault="002C6572" w:rsidP="002C6572">
      <w:pPr>
        <w:spacing w:before="60" w:after="0" w:line="240" w:lineRule="auto"/>
        <w:ind w:firstLine="1134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:rsidR="002C6572" w:rsidRPr="00CA3E13" w:rsidRDefault="002C6572" w:rsidP="00F07295">
      <w:pPr>
        <w:spacing w:before="60" w:after="0"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</w:p>
    <w:sectPr w:rsidR="002C6572" w:rsidRPr="00CA3E13" w:rsidSect="00757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2DD" w:rsidRDefault="001B32DD">
      <w:r>
        <w:separator/>
      </w:r>
    </w:p>
  </w:endnote>
  <w:endnote w:type="continuationSeparator" w:id="0">
    <w:p w:rsidR="001B32DD" w:rsidRDefault="001B3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5CD" w:rsidRPr="007D49E2" w:rsidRDefault="008445CD">
    <w:pPr>
      <w:pStyle w:val="Footer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2DD" w:rsidRDefault="001B32DD">
      <w:r>
        <w:separator/>
      </w:r>
    </w:p>
  </w:footnote>
  <w:footnote w:type="continuationSeparator" w:id="0">
    <w:p w:rsidR="001B32DD" w:rsidRDefault="001B3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5CD" w:rsidRPr="007D49E2" w:rsidRDefault="00065012" w:rsidP="00083865">
    <w:pPr>
      <w:pStyle w:val="Header"/>
      <w:spacing w:after="0" w:line="240" w:lineRule="auto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 xml:space="preserve">Examenul de </w:t>
    </w:r>
    <w:r w:rsidR="00106819">
      <w:rPr>
        <w:rFonts w:ascii="Arial" w:hAnsi="Arial" w:cs="Arial"/>
        <w:sz w:val="20"/>
        <w:szCs w:val="20"/>
        <w:lang w:val="fr-FR"/>
      </w:rPr>
      <w:t>bacalaureat 2012</w:t>
    </w:r>
  </w:p>
  <w:p w:rsidR="008445CD" w:rsidRPr="007D49E2" w:rsidRDefault="008445CD" w:rsidP="00083865">
    <w:pPr>
      <w:pStyle w:val="Header"/>
      <w:spacing w:after="0" w:line="240" w:lineRule="auto"/>
      <w:rPr>
        <w:rFonts w:ascii="Arial" w:hAnsi="Arial" w:cs="Arial"/>
        <w:sz w:val="20"/>
        <w:szCs w:val="20"/>
        <w:lang w:val="fr-FR"/>
      </w:rPr>
    </w:pPr>
    <w:r w:rsidRPr="007D49E2">
      <w:rPr>
        <w:rFonts w:ascii="Arial" w:hAnsi="Arial" w:cs="Arial"/>
        <w:sz w:val="20"/>
        <w:szCs w:val="20"/>
        <w:lang w:val="fr-FR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12" w:rsidRDefault="000650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2FA"/>
    <w:multiLevelType w:val="hybridMultilevel"/>
    <w:tmpl w:val="C3D0843A"/>
    <w:lvl w:ilvl="0" w:tplc="B900C874">
      <w:start w:val="270"/>
      <w:numFmt w:val="bullet"/>
      <w:lvlText w:val="-"/>
      <w:lvlJc w:val="left"/>
      <w:pPr>
        <w:tabs>
          <w:tab w:val="num" w:pos="1230"/>
        </w:tabs>
        <w:ind w:left="1230" w:hanging="87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53DC6"/>
    <w:multiLevelType w:val="hybridMultilevel"/>
    <w:tmpl w:val="43403BA2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">
    <w:nsid w:val="1D7D0844"/>
    <w:multiLevelType w:val="hybridMultilevel"/>
    <w:tmpl w:val="82243FF0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2AAF45C4"/>
    <w:multiLevelType w:val="hybridMultilevel"/>
    <w:tmpl w:val="7A62756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>
    <w:nsid w:val="2BC15458"/>
    <w:multiLevelType w:val="hybridMultilevel"/>
    <w:tmpl w:val="4A3C520E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AD30B826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3474"/>
        </w:tabs>
        <w:ind w:left="3474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5">
    <w:nsid w:val="3ABA3920"/>
    <w:multiLevelType w:val="multilevel"/>
    <w:tmpl w:val="8440234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3DCA333A"/>
    <w:multiLevelType w:val="hybridMultilevel"/>
    <w:tmpl w:val="837E05F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>
    <w:nsid w:val="3F654E57"/>
    <w:multiLevelType w:val="multilevel"/>
    <w:tmpl w:val="1618D472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515207DF"/>
    <w:multiLevelType w:val="hybridMultilevel"/>
    <w:tmpl w:val="3D4CDED6"/>
    <w:lvl w:ilvl="0" w:tplc="1D5C9FCE">
      <w:start w:val="270"/>
      <w:numFmt w:val="bullet"/>
      <w:lvlText w:val="-"/>
      <w:lvlJc w:val="left"/>
      <w:pPr>
        <w:tabs>
          <w:tab w:val="num" w:pos="1050"/>
        </w:tabs>
        <w:ind w:left="1050" w:hanging="69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1E3D99"/>
    <w:multiLevelType w:val="hybridMultilevel"/>
    <w:tmpl w:val="A318742A"/>
    <w:lvl w:ilvl="0" w:tplc="0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2C0"/>
    <w:rsid w:val="0004263E"/>
    <w:rsid w:val="00065012"/>
    <w:rsid w:val="00083865"/>
    <w:rsid w:val="00090E9C"/>
    <w:rsid w:val="000925D4"/>
    <w:rsid w:val="0009575C"/>
    <w:rsid w:val="00096A5F"/>
    <w:rsid w:val="000E4769"/>
    <w:rsid w:val="000F4B22"/>
    <w:rsid w:val="00103FFE"/>
    <w:rsid w:val="00106819"/>
    <w:rsid w:val="00124BCE"/>
    <w:rsid w:val="001375C6"/>
    <w:rsid w:val="00144B7E"/>
    <w:rsid w:val="001820A3"/>
    <w:rsid w:val="00184270"/>
    <w:rsid w:val="001B32DD"/>
    <w:rsid w:val="001E5FE4"/>
    <w:rsid w:val="002376B9"/>
    <w:rsid w:val="0025097F"/>
    <w:rsid w:val="002B5201"/>
    <w:rsid w:val="002C5C4A"/>
    <w:rsid w:val="002C6572"/>
    <w:rsid w:val="002C7267"/>
    <w:rsid w:val="002D6DE0"/>
    <w:rsid w:val="002E406F"/>
    <w:rsid w:val="003141D6"/>
    <w:rsid w:val="00315DAF"/>
    <w:rsid w:val="003174AC"/>
    <w:rsid w:val="00324AC9"/>
    <w:rsid w:val="00332400"/>
    <w:rsid w:val="00363097"/>
    <w:rsid w:val="003671C4"/>
    <w:rsid w:val="003B111C"/>
    <w:rsid w:val="003E25A7"/>
    <w:rsid w:val="00400A0B"/>
    <w:rsid w:val="00426191"/>
    <w:rsid w:val="0045224A"/>
    <w:rsid w:val="00474A10"/>
    <w:rsid w:val="004752EF"/>
    <w:rsid w:val="004968B6"/>
    <w:rsid w:val="00497300"/>
    <w:rsid w:val="004C2FE8"/>
    <w:rsid w:val="004F1CF8"/>
    <w:rsid w:val="0057174D"/>
    <w:rsid w:val="0060733E"/>
    <w:rsid w:val="006138E1"/>
    <w:rsid w:val="00614AAA"/>
    <w:rsid w:val="0061791C"/>
    <w:rsid w:val="00694C02"/>
    <w:rsid w:val="0069705C"/>
    <w:rsid w:val="006B68C9"/>
    <w:rsid w:val="006F70CA"/>
    <w:rsid w:val="00706FD2"/>
    <w:rsid w:val="0072080F"/>
    <w:rsid w:val="00752E33"/>
    <w:rsid w:val="007576E3"/>
    <w:rsid w:val="0076225C"/>
    <w:rsid w:val="00791D07"/>
    <w:rsid w:val="007A64DF"/>
    <w:rsid w:val="007B1599"/>
    <w:rsid w:val="007B2160"/>
    <w:rsid w:val="007B2F23"/>
    <w:rsid w:val="007B30C9"/>
    <w:rsid w:val="007D165E"/>
    <w:rsid w:val="007D49E2"/>
    <w:rsid w:val="007E2762"/>
    <w:rsid w:val="00830D46"/>
    <w:rsid w:val="008445CD"/>
    <w:rsid w:val="00853707"/>
    <w:rsid w:val="00885AA0"/>
    <w:rsid w:val="008D5987"/>
    <w:rsid w:val="0091445A"/>
    <w:rsid w:val="0093185B"/>
    <w:rsid w:val="00947CDF"/>
    <w:rsid w:val="00971344"/>
    <w:rsid w:val="00976BE3"/>
    <w:rsid w:val="009C7280"/>
    <w:rsid w:val="009F3807"/>
    <w:rsid w:val="009F6045"/>
    <w:rsid w:val="00A05567"/>
    <w:rsid w:val="00A2545B"/>
    <w:rsid w:val="00A32332"/>
    <w:rsid w:val="00A53E6B"/>
    <w:rsid w:val="00A71067"/>
    <w:rsid w:val="00A95B31"/>
    <w:rsid w:val="00AB5F39"/>
    <w:rsid w:val="00AC42C0"/>
    <w:rsid w:val="00AD7F1F"/>
    <w:rsid w:val="00AE6ECD"/>
    <w:rsid w:val="00B24FE3"/>
    <w:rsid w:val="00B34A05"/>
    <w:rsid w:val="00B361F8"/>
    <w:rsid w:val="00B372D4"/>
    <w:rsid w:val="00B54A5E"/>
    <w:rsid w:val="00B56C8C"/>
    <w:rsid w:val="00B63B05"/>
    <w:rsid w:val="00B67507"/>
    <w:rsid w:val="00B96658"/>
    <w:rsid w:val="00BB75C9"/>
    <w:rsid w:val="00BC68B5"/>
    <w:rsid w:val="00BD08B2"/>
    <w:rsid w:val="00BD794D"/>
    <w:rsid w:val="00C11AFF"/>
    <w:rsid w:val="00C13647"/>
    <w:rsid w:val="00C213D8"/>
    <w:rsid w:val="00C247F6"/>
    <w:rsid w:val="00C37137"/>
    <w:rsid w:val="00C72968"/>
    <w:rsid w:val="00C745F2"/>
    <w:rsid w:val="00CA3E13"/>
    <w:rsid w:val="00CA5245"/>
    <w:rsid w:val="00CA550A"/>
    <w:rsid w:val="00CB5A4B"/>
    <w:rsid w:val="00CB7943"/>
    <w:rsid w:val="00CC5527"/>
    <w:rsid w:val="00CC5CA6"/>
    <w:rsid w:val="00D332BB"/>
    <w:rsid w:val="00D50E92"/>
    <w:rsid w:val="00D53C20"/>
    <w:rsid w:val="00D867C0"/>
    <w:rsid w:val="00D92A0B"/>
    <w:rsid w:val="00D95168"/>
    <w:rsid w:val="00D95631"/>
    <w:rsid w:val="00DA5584"/>
    <w:rsid w:val="00DB159D"/>
    <w:rsid w:val="00E63541"/>
    <w:rsid w:val="00E90B3C"/>
    <w:rsid w:val="00E915BD"/>
    <w:rsid w:val="00E922EF"/>
    <w:rsid w:val="00EE5E7F"/>
    <w:rsid w:val="00F07295"/>
    <w:rsid w:val="00F14A26"/>
    <w:rsid w:val="00F3122D"/>
    <w:rsid w:val="00F42274"/>
    <w:rsid w:val="00F80515"/>
    <w:rsid w:val="00F82883"/>
    <w:rsid w:val="00F83EA8"/>
    <w:rsid w:val="00F85523"/>
    <w:rsid w:val="00F91819"/>
    <w:rsid w:val="00F96D34"/>
    <w:rsid w:val="00FB7ACA"/>
    <w:rsid w:val="00FC1A31"/>
    <w:rsid w:val="00FE0A48"/>
    <w:rsid w:val="00FE7A24"/>
    <w:rsid w:val="00FF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33E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ftclick">
    <w:name w:val="leftclick"/>
    <w:basedOn w:val="DefaultParagraphFont"/>
    <w:rsid w:val="00AC42C0"/>
  </w:style>
  <w:style w:type="paragraph" w:styleId="NormalWeb">
    <w:name w:val="Normal (Web)"/>
    <w:basedOn w:val="Normal"/>
    <w:rsid w:val="00AC42C0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AC42C0"/>
  </w:style>
  <w:style w:type="paragraph" w:styleId="Header">
    <w:name w:val="header"/>
    <w:basedOn w:val="Normal"/>
    <w:rsid w:val="001E5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5F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75C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6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5012"/>
    <w:rPr>
      <w:rFonts w:ascii="Tahoma" w:eastAsia="Calibri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CNEE; Sf Sava</dc:creator>
  <cp:lastModifiedBy>Guest</cp:lastModifiedBy>
  <cp:revision>4</cp:revision>
  <dcterms:created xsi:type="dcterms:W3CDTF">2010-04-07T07:40:00Z</dcterms:created>
  <dcterms:modified xsi:type="dcterms:W3CDTF">2012-03-08T13:21:00Z</dcterms:modified>
</cp:coreProperties>
</file>