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A71293" w:rsidRDefault="00A236D0" w:rsidP="00390E4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A71293">
        <w:rPr>
          <w:rFonts w:ascii="Arial" w:hAnsi="Arial" w:cs="Arial"/>
          <w:sz w:val="28"/>
          <w:szCs w:val="28"/>
        </w:rPr>
        <w:t>FAZELE FOTOSINTEZEI</w:t>
      </w:r>
    </w:p>
    <w:p w:rsidR="00AE624C" w:rsidRPr="00A71293" w:rsidRDefault="00AE624C" w:rsidP="00390E43">
      <w:pPr>
        <w:spacing w:before="60"/>
        <w:rPr>
          <w:rFonts w:ascii="Arial" w:hAnsi="Arial" w:cs="Arial"/>
          <w:lang w:val="ro-RO"/>
        </w:rPr>
      </w:pP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Sub influenţa luminii, molecula de clorofilă eliberează un electron. Energia luminii a fost transferată acestui electron liber, deci a devenit energie chimică. În cloroplast, energia este apoi folosită pentru descompunerea (fotoliza) apei în oxigen şi hidrogen. Oxigenul va fi pus în libertate</w:t>
      </w:r>
      <w:r w:rsidR="00F531F7">
        <w:rPr>
          <w:rFonts w:ascii="Arial" w:hAnsi="Arial" w:cs="Arial"/>
          <w:lang w:val="ro-RO"/>
        </w:rPr>
        <w:t>,</w:t>
      </w:r>
      <w:r w:rsidRPr="00A71293">
        <w:rPr>
          <w:rFonts w:ascii="Arial" w:hAnsi="Arial" w:cs="Arial"/>
          <w:lang w:val="ro-RO"/>
        </w:rPr>
        <w:t xml:space="preserve"> iar hidrogenul va fi acceptat de substanţe organice, cu energia pe care o conţine.</w:t>
      </w:r>
      <w:r w:rsidR="00134E74" w:rsidRPr="00A71293">
        <w:rPr>
          <w:rFonts w:ascii="Arial" w:hAnsi="Arial" w:cs="Arial"/>
          <w:lang w:val="ro-RO"/>
        </w:rPr>
        <w:t>[…]</w:t>
      </w:r>
      <w:r w:rsidRPr="00A71293">
        <w:rPr>
          <w:rFonts w:ascii="Arial" w:hAnsi="Arial" w:cs="Arial"/>
          <w:lang w:val="ro-RO"/>
        </w:rPr>
        <w:t xml:space="preserve"> </w:t>
      </w: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Evenimentele descrise până acum formează faza de lumină a fotosintezei. Urmează faza de întuneric (numită aşa </w:t>
      </w:r>
      <w:r w:rsidR="00A236D0" w:rsidRPr="00A71293">
        <w:rPr>
          <w:rFonts w:ascii="Arial" w:hAnsi="Arial" w:cs="Arial"/>
          <w:lang w:val="ro-RO"/>
        </w:rPr>
        <w:t>nu pentru că necesită întuneric, ci pentru că nu</w:t>
      </w:r>
      <w:r w:rsidR="00F531F7">
        <w:rPr>
          <w:rFonts w:ascii="Arial" w:hAnsi="Arial" w:cs="Arial"/>
          <w:lang w:val="ro-RO"/>
        </w:rPr>
        <w:t xml:space="preserve"> </w:t>
      </w:r>
      <w:r w:rsidR="00A236D0" w:rsidRPr="00A71293">
        <w:rPr>
          <w:rFonts w:ascii="Arial" w:hAnsi="Arial" w:cs="Arial"/>
          <w:lang w:val="ro-RO"/>
        </w:rPr>
        <w:t>mai necesită lumină</w:t>
      </w:r>
      <w:r w:rsidRPr="00A71293">
        <w:rPr>
          <w:rFonts w:ascii="Arial" w:hAnsi="Arial" w:cs="Arial"/>
          <w:lang w:val="ro-RO"/>
        </w:rPr>
        <w:t>)</w:t>
      </w:r>
      <w:r w:rsidR="00A236D0" w:rsidRPr="00A71293">
        <w:rPr>
          <w:rFonts w:ascii="Arial" w:hAnsi="Arial" w:cs="Arial"/>
          <w:lang w:val="ro-RO"/>
        </w:rPr>
        <w:t>. Acum hidrogenul şi CO</w:t>
      </w:r>
      <w:r w:rsidR="00F531F7" w:rsidRPr="00F531F7">
        <w:rPr>
          <w:rFonts w:ascii="Arial" w:hAnsi="Arial" w:cs="Arial"/>
          <w:vertAlign w:val="subscript"/>
          <w:lang w:val="ro-RO"/>
        </w:rPr>
        <w:t>2</w:t>
      </w:r>
      <w:r w:rsidR="00A236D0" w:rsidRPr="00A71293">
        <w:rPr>
          <w:rFonts w:ascii="Arial" w:hAnsi="Arial" w:cs="Arial"/>
          <w:lang w:val="ro-RO"/>
        </w:rPr>
        <w:t xml:space="preserve"> sunt încorporate independent în substanţele organice. Rezultă o mare varietate de molecule organice noi: glucide, lipide, proteine etc.</w:t>
      </w:r>
      <w:r w:rsidR="00134E74" w:rsidRPr="00A71293">
        <w:rPr>
          <w:rFonts w:ascii="Arial" w:hAnsi="Arial" w:cs="Arial"/>
          <w:lang w:val="ro-RO"/>
        </w:rPr>
        <w:t>[..]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sursa principală de substanţe organice, hrană pentru organismele hetero</w:t>
      </w:r>
      <w:r w:rsidR="00134E74" w:rsidRPr="00A71293">
        <w:rPr>
          <w:rFonts w:ascii="Arial" w:hAnsi="Arial" w:cs="Arial"/>
          <w:lang w:val="ro-RO"/>
        </w:rPr>
        <w:t>trofe</w:t>
      </w:r>
      <w:r w:rsidRPr="00A71293">
        <w:rPr>
          <w:rFonts w:ascii="Arial" w:hAnsi="Arial" w:cs="Arial"/>
          <w:lang w:val="ro-RO"/>
        </w:rPr>
        <w:t xml:space="preserve"> din ecosistem</w:t>
      </w:r>
      <w:r w:rsidR="00134E74" w:rsidRPr="00A71293">
        <w:rPr>
          <w:rFonts w:ascii="Arial" w:hAnsi="Arial" w:cs="Arial"/>
          <w:lang w:val="ro-RO"/>
        </w:rPr>
        <w:t>e</w:t>
      </w:r>
      <w:r w:rsidRPr="00A71293">
        <w:rPr>
          <w:rFonts w:ascii="Arial" w:hAnsi="Arial" w:cs="Arial"/>
          <w:lang w:val="ro-RO"/>
        </w:rPr>
        <w:t>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Datorită fotosintezei, biosfera este racordată la o sursă inepuizabilă de energie care o menţine în funcţiune: energia solară. Planeta noastră poate</w:t>
      </w:r>
      <w:r w:rsidR="00134E74" w:rsidRPr="00A71293">
        <w:rPr>
          <w:rFonts w:ascii="Arial" w:hAnsi="Arial" w:cs="Arial"/>
          <w:lang w:val="ro-RO"/>
        </w:rPr>
        <w:t xml:space="preserve"> astfel</w:t>
      </w:r>
      <w:r w:rsidRPr="00A71293">
        <w:rPr>
          <w:rFonts w:ascii="Arial" w:hAnsi="Arial" w:cs="Arial"/>
          <w:lang w:val="ro-RO"/>
        </w:rPr>
        <w:t xml:space="preserve"> să stocheze o parte din energia solară primită.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Prin fotosinteză se menţine constantă compoziţia atmosferei, în ech</w:t>
      </w:r>
      <w:r w:rsidR="006C4287" w:rsidRPr="00A71293">
        <w:rPr>
          <w:rFonts w:ascii="Arial" w:hAnsi="Arial" w:cs="Arial"/>
          <w:lang w:val="ro-RO"/>
        </w:rPr>
        <w:t>i</w:t>
      </w:r>
      <w:r w:rsidRPr="00A71293">
        <w:rPr>
          <w:rFonts w:ascii="Arial" w:hAnsi="Arial" w:cs="Arial"/>
          <w:lang w:val="ro-RO"/>
        </w:rPr>
        <w:t>libru cu reacţiile consumatoare de oxigen: respiraţie şi arderi.</w:t>
      </w:r>
    </w:p>
    <w:p w:rsidR="00C443F1" w:rsidRPr="00A71293" w:rsidRDefault="00F5323D" w:rsidP="00390E43">
      <w:pPr>
        <w:spacing w:before="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2781300" cy="27813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6D0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Fotosinteza stă la baza producţiei agricole şi silvice. Ea furnizează civilizaţiei umane hrană, materii prime şi energie. Chiar şi combustibilii fosili  (cărbune, petrol, gaze naturale) provin din biomasa care a rezultat cândva tot din fotosinteză. </w:t>
      </w:r>
    </w:p>
    <w:p w:rsidR="00C443F1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cel mai important proces metabolic de pe planetă. Ea susţine energetic şi material întreaga biosfera. Există fotosinteză acolo unde există clorofilă, care transformă energia luminii în energie chimică.</w:t>
      </w:r>
      <w:r w:rsidR="00345CB4" w:rsidRPr="00A71293">
        <w:rPr>
          <w:rFonts w:ascii="Arial" w:hAnsi="Arial" w:cs="Arial"/>
          <w:lang w:val="ro-RO"/>
        </w:rPr>
        <w:t>[..]</w:t>
      </w:r>
    </w:p>
    <w:p w:rsidR="0058264E" w:rsidRPr="00A71293" w:rsidRDefault="00345CB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</w:t>
      </w:r>
      <w:r w:rsidR="0058264E" w:rsidRPr="00A71293">
        <w:rPr>
          <w:rFonts w:ascii="Arial" w:hAnsi="Arial" w:cs="Arial"/>
          <w:lang w:val="ro-RO"/>
        </w:rPr>
        <w:t>Factorii de mediu influenţează toate funcţiile organismelor, inclusiv fotosinteza. Cunoscând aceste influenţe, putem interveni în mod conştient în viaţa plantelor pentru a mări intensitatea fotosintezei şi a creşte astfel producţia vegetală.</w:t>
      </w:r>
      <w:r w:rsidR="006F7871" w:rsidRPr="00A71293">
        <w:rPr>
          <w:rFonts w:ascii="Arial" w:hAnsi="Arial" w:cs="Arial"/>
          <w:lang w:val="ro-RO"/>
        </w:rPr>
        <w:t>[...]</w:t>
      </w:r>
    </w:p>
    <w:p w:rsidR="00257191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Lumina reprezintă sursa de energie pentru fotosinteză.</w:t>
      </w:r>
      <w:r w:rsidR="006F7871" w:rsidRPr="00A71293">
        <w:rPr>
          <w:rFonts w:ascii="Arial" w:hAnsi="Arial" w:cs="Arial"/>
          <w:lang w:val="ro-RO"/>
        </w:rPr>
        <w:t>[...]</w:t>
      </w:r>
      <w:r w:rsidRPr="00A71293">
        <w:rPr>
          <w:rFonts w:ascii="Arial" w:hAnsi="Arial" w:cs="Arial"/>
          <w:lang w:val="ro-RO"/>
        </w:rPr>
        <w:t xml:space="preserve"> Fotosinteza are loc chiar şi la lumină foarte slabă[…]. </w:t>
      </w:r>
    </w:p>
    <w:p w:rsidR="00717A7D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lastRenderedPageBreak/>
        <w:t xml:space="preserve">Plantele adaptate la umbră ating platoul maxim al fotosintezei la intensităţi </w:t>
      </w:r>
      <w:r w:rsidR="00F531F7">
        <w:rPr>
          <w:rFonts w:ascii="Arial" w:hAnsi="Arial" w:cs="Arial"/>
          <w:lang w:val="ro-RO"/>
        </w:rPr>
        <w:t xml:space="preserve">mai </w:t>
      </w:r>
      <w:r w:rsidRPr="00A71293">
        <w:rPr>
          <w:rFonts w:ascii="Arial" w:hAnsi="Arial" w:cs="Arial"/>
          <w:lang w:val="ro-RO"/>
        </w:rPr>
        <w:t>mici ale luminii. Ele au frunze mai subţiri, cloroplaste mai mari şi mai multă clorofilă.</w:t>
      </w:r>
      <w:r w:rsidR="00C526D2" w:rsidRPr="00A71293">
        <w:rPr>
          <w:rFonts w:ascii="Arial" w:hAnsi="Arial" w:cs="Arial"/>
          <w:lang w:val="ro-RO"/>
        </w:rPr>
        <w:t>[...]</w:t>
      </w:r>
    </w:p>
    <w:p w:rsidR="00717A7D" w:rsidRPr="00A71293" w:rsidRDefault="0077511B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Plantele extrag din sol:</w:t>
      </w:r>
    </w:p>
    <w:p w:rsidR="00423084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mari de: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azot;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fosfor;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potasiu.</w:t>
      </w:r>
    </w:p>
    <w:p w:rsidR="00257191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moderate de</w:t>
      </w:r>
      <w:r w:rsidR="00257191" w:rsidRPr="00A71293">
        <w:rPr>
          <w:rFonts w:ascii="Arial" w:hAnsi="Arial" w:cs="Arial"/>
          <w:lang w:val="ro-RO"/>
        </w:rPr>
        <w:t>: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sulf;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calciu;</w:t>
      </w:r>
    </w:p>
    <w:p w:rsidR="00B755C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magneziu;</w:t>
      </w:r>
    </w:p>
    <w:p w:rsidR="0077511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sodiu;</w:t>
      </w:r>
    </w:p>
    <w:p w:rsidR="0077511B" w:rsidRPr="00A71293" w:rsidRDefault="0077511B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fier</w:t>
      </w:r>
      <w:r w:rsidR="0039464E" w:rsidRPr="00A71293">
        <w:rPr>
          <w:rFonts w:ascii="Arial" w:hAnsi="Arial" w:cs="Arial"/>
          <w:lang w:val="ro-RO"/>
        </w:rPr>
        <w:t>.</w:t>
      </w:r>
    </w:p>
    <w:p w:rsidR="00B755CB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infime de</w:t>
      </w:r>
      <w:r w:rsidR="00B755CB" w:rsidRPr="00A71293">
        <w:rPr>
          <w:rFonts w:ascii="Arial" w:hAnsi="Arial" w:cs="Arial"/>
          <w:lang w:val="ro-RO"/>
        </w:rPr>
        <w:t>:</w:t>
      </w:r>
    </w:p>
    <w:p w:rsidR="00B755C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cupru;</w:t>
      </w:r>
    </w:p>
    <w:p w:rsidR="00B755CB" w:rsidRPr="00A71293" w:rsidRDefault="0039464E" w:rsidP="00F531F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zinc;</w:t>
      </w:r>
    </w:p>
    <w:p w:rsidR="0077511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bor.</w:t>
      </w:r>
    </w:p>
    <w:p w:rsidR="00257191" w:rsidRPr="00A71293" w:rsidRDefault="0025719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1723"/>
        <w:gridCol w:w="2651"/>
        <w:gridCol w:w="2182"/>
        <w:gridCol w:w="2165"/>
      </w:tblGrid>
      <w:tr w:rsidR="00423084" w:rsidRPr="0046782C">
        <w:tc>
          <w:tcPr>
            <w:tcW w:w="988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Factori</w:t>
            </w:r>
          </w:p>
        </w:tc>
        <w:tc>
          <w:tcPr>
            <w:tcW w:w="1520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Influenţa</w:t>
            </w:r>
          </w:p>
        </w:tc>
        <w:tc>
          <w:tcPr>
            <w:tcW w:w="125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Maxim</w:t>
            </w:r>
          </w:p>
        </w:tc>
        <w:tc>
          <w:tcPr>
            <w:tcW w:w="124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Minim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Lumina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Energie pentru fotosinteză.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50000 şi 100000 lucşi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mare de 0 lucşi, mai mare de 100000 de lucşi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Temperatura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Necesară pentru fotosintez</w:t>
            </w:r>
            <w:r w:rsidR="00F475DC">
              <w:rPr>
                <w:rFonts w:ascii="Arial" w:hAnsi="Arial" w:cs="Arial"/>
                <w:lang w:val="ro-RO"/>
              </w:rPr>
              <w:t>ă</w:t>
            </w:r>
            <w:r w:rsidRPr="00A71293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30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-35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 xml:space="preserve"> C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Puţin peste 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C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Umiditatea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Deficitul creşte vâscozitatea citoplasmei iar excesul măreşte volumul celulelor.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80% din capacitatea de reţinere.</w:t>
            </w:r>
          </w:p>
        </w:tc>
        <w:tc>
          <w:tcPr>
            <w:tcW w:w="1241" w:type="pct"/>
          </w:tcPr>
          <w:p w:rsidR="00423084" w:rsidRPr="00A71293" w:rsidRDefault="00B81181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puţin de 70%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CO</w:t>
            </w:r>
            <w:r w:rsidRPr="00F475DC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Sporeşte fotosinteza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2%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0,01%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de săruri minerale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Ionii minerali participă la sinteza substanţelor organice.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N, P, K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Cu, Zn, Mn, B</w:t>
            </w:r>
          </w:p>
        </w:tc>
      </w:tr>
    </w:tbl>
    <w:p w:rsidR="00423084" w:rsidRPr="00A71293" w:rsidRDefault="0042308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p w:rsidR="00C7030A" w:rsidRPr="00A71293" w:rsidRDefault="00C7030A" w:rsidP="00390E43">
      <w:pPr>
        <w:pStyle w:val="Footer"/>
        <w:spacing w:before="60"/>
        <w:rPr>
          <w:rFonts w:ascii="Arial" w:hAnsi="Arial" w:cs="Arial"/>
        </w:rPr>
      </w:pPr>
      <w:r w:rsidRPr="00A71293">
        <w:rPr>
          <w:rFonts w:ascii="Arial" w:hAnsi="Arial" w:cs="Arial"/>
          <w:lang w:val="ro-RO"/>
        </w:rPr>
        <w:t xml:space="preserve">(Adaptat după </w:t>
      </w:r>
      <w:r w:rsidRPr="0046782C">
        <w:rPr>
          <w:rFonts w:ascii="Arial" w:hAnsi="Arial" w:cs="Arial"/>
          <w:i/>
          <w:lang w:val="ro-RO"/>
        </w:rPr>
        <w:t>Manual</w:t>
      </w:r>
      <w:r w:rsidR="0046782C" w:rsidRPr="0046782C">
        <w:rPr>
          <w:rFonts w:ascii="Arial" w:hAnsi="Arial" w:cs="Arial"/>
          <w:i/>
          <w:lang w:val="ro-RO"/>
        </w:rPr>
        <w:t>ul de B</w:t>
      </w:r>
      <w:r w:rsidRPr="0046782C">
        <w:rPr>
          <w:rFonts w:ascii="Arial" w:hAnsi="Arial" w:cs="Arial"/>
          <w:i/>
          <w:lang w:val="ro-RO"/>
        </w:rPr>
        <w:t>iologie, clasa a X-a</w:t>
      </w:r>
      <w:r w:rsidRPr="00A71293">
        <w:rPr>
          <w:rFonts w:ascii="Arial" w:hAnsi="Arial" w:cs="Arial"/>
          <w:lang w:val="ro-RO"/>
        </w:rPr>
        <w:t>, Stelică Ene, Gheorghiţă Sandu, Gheorghe Gămăneci)</w:t>
      </w:r>
    </w:p>
    <w:p w:rsidR="00C7030A" w:rsidRPr="00A71293" w:rsidRDefault="00C7030A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sectPr w:rsidR="00C7030A" w:rsidRPr="00A71293" w:rsidSect="001B39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20D" w:rsidRDefault="002C020D">
      <w:r>
        <w:separator/>
      </w:r>
    </w:p>
  </w:endnote>
  <w:endnote w:type="continuationSeparator" w:id="1">
    <w:p w:rsidR="002C020D" w:rsidRDefault="002C0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F475DC" w:rsidP="0059779A">
    <w:pPr>
      <w:pStyle w:val="Foot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Procesare de texte</w:t>
    </w:r>
  </w:p>
  <w:p w:rsidR="00F475DC" w:rsidRDefault="00F475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20D" w:rsidRDefault="002C020D">
      <w:r>
        <w:separator/>
      </w:r>
    </w:p>
  </w:footnote>
  <w:footnote w:type="continuationSeparator" w:id="1">
    <w:p w:rsidR="002C020D" w:rsidRDefault="002C0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BD35CB" w:rsidP="0059779A">
    <w:pPr>
      <w:pStyle w:val="Header"/>
      <w:rPr>
        <w:rFonts w:ascii="Arial" w:hAnsi="Arial" w:cs="Arial"/>
        <w:sz w:val="20"/>
        <w:szCs w:val="20"/>
        <w:lang w:val="ro-RO"/>
      </w:rPr>
    </w:pPr>
    <w:r>
      <w:rPr>
        <w:rFonts w:ascii="Arial" w:hAnsi="Arial" w:cs="Arial"/>
        <w:sz w:val="20"/>
        <w:szCs w:val="20"/>
        <w:lang w:val="ro-RO"/>
      </w:rPr>
      <w:t>Examenul de bacalaureat 2012</w:t>
    </w:r>
  </w:p>
  <w:p w:rsidR="00F475DC" w:rsidRPr="000A49D6" w:rsidRDefault="00F475DC">
    <w:pPr>
      <w:pStyle w:val="Head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Proba de evaluare a competenţel</w:t>
    </w:r>
    <w:r>
      <w:rPr>
        <w:rFonts w:ascii="Arial" w:hAnsi="Arial" w:cs="Arial"/>
        <w:sz w:val="20"/>
        <w:szCs w:val="20"/>
        <w:lang w:val="ro-RO"/>
      </w:rPr>
      <w:t>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7F5"/>
    <w:multiLevelType w:val="multilevel"/>
    <w:tmpl w:val="00529496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8141868"/>
    <w:multiLevelType w:val="hybridMultilevel"/>
    <w:tmpl w:val="215AE4D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">
    <w:nsid w:val="09664263"/>
    <w:multiLevelType w:val="hybridMultilevel"/>
    <w:tmpl w:val="B8121E9C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A187F20"/>
    <w:multiLevelType w:val="multilevel"/>
    <w:tmpl w:val="1F9CF7FE"/>
    <w:lvl w:ilvl="0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4">
    <w:nsid w:val="12905142"/>
    <w:multiLevelType w:val="hybridMultilevel"/>
    <w:tmpl w:val="416C5520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5045E38"/>
    <w:multiLevelType w:val="multilevel"/>
    <w:tmpl w:val="215AE4DA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6">
    <w:nsid w:val="15A9171B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7">
    <w:nsid w:val="166A18C1"/>
    <w:multiLevelType w:val="multilevel"/>
    <w:tmpl w:val="F5BE1712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1991183"/>
    <w:multiLevelType w:val="hybridMultilevel"/>
    <w:tmpl w:val="1F9CF7FE"/>
    <w:lvl w:ilvl="0" w:tplc="45C2AF5E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9">
    <w:nsid w:val="32970CAE"/>
    <w:multiLevelType w:val="hybridMultilevel"/>
    <w:tmpl w:val="9748375E"/>
    <w:lvl w:ilvl="0" w:tplc="358ECEE6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348B02F8"/>
    <w:multiLevelType w:val="hybridMultilevel"/>
    <w:tmpl w:val="2A824C50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1">
    <w:nsid w:val="349D31C1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2">
    <w:nsid w:val="40D02DBA"/>
    <w:multiLevelType w:val="hybridMultilevel"/>
    <w:tmpl w:val="F82691C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3">
    <w:nsid w:val="421B4271"/>
    <w:multiLevelType w:val="hybridMultilevel"/>
    <w:tmpl w:val="4E1E3D80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14">
    <w:nsid w:val="445C42A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562A5AC4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61B648A1"/>
    <w:multiLevelType w:val="hybridMultilevel"/>
    <w:tmpl w:val="1A0CBB98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7">
    <w:nsid w:val="66163076"/>
    <w:multiLevelType w:val="multilevel"/>
    <w:tmpl w:val="13B8BD2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>
    <w:nsid w:val="74694213"/>
    <w:multiLevelType w:val="multilevel"/>
    <w:tmpl w:val="DF38289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6B97695"/>
    <w:multiLevelType w:val="hybridMultilevel"/>
    <w:tmpl w:val="0666BA74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0">
    <w:nsid w:val="773751F5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1">
    <w:nsid w:val="7BFD66C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8"/>
  </w:num>
  <w:num w:numId="5">
    <w:abstractNumId w:val="17"/>
  </w:num>
  <w:num w:numId="6">
    <w:abstractNumId w:val="0"/>
  </w:num>
  <w:num w:numId="7">
    <w:abstractNumId w:val="21"/>
  </w:num>
  <w:num w:numId="8">
    <w:abstractNumId w:val="1"/>
  </w:num>
  <w:num w:numId="9">
    <w:abstractNumId w:val="14"/>
  </w:num>
  <w:num w:numId="10">
    <w:abstractNumId w:val="8"/>
  </w:num>
  <w:num w:numId="11">
    <w:abstractNumId w:val="15"/>
  </w:num>
  <w:num w:numId="12">
    <w:abstractNumId w:val="16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  <w:num w:numId="17">
    <w:abstractNumId w:val="20"/>
  </w:num>
  <w:num w:numId="18">
    <w:abstractNumId w:val="7"/>
  </w:num>
  <w:num w:numId="19">
    <w:abstractNumId w:val="5"/>
  </w:num>
  <w:num w:numId="20">
    <w:abstractNumId w:val="13"/>
  </w:num>
  <w:num w:numId="21">
    <w:abstractNumId w:val="1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24C"/>
    <w:rsid w:val="000278BD"/>
    <w:rsid w:val="00037E88"/>
    <w:rsid w:val="00074782"/>
    <w:rsid w:val="000A49D6"/>
    <w:rsid w:val="00134E74"/>
    <w:rsid w:val="001B39C8"/>
    <w:rsid w:val="001C0CEE"/>
    <w:rsid w:val="001F270C"/>
    <w:rsid w:val="001F2DF6"/>
    <w:rsid w:val="00257191"/>
    <w:rsid w:val="0028540E"/>
    <w:rsid w:val="002C020D"/>
    <w:rsid w:val="00345CB4"/>
    <w:rsid w:val="003571BE"/>
    <w:rsid w:val="00390E43"/>
    <w:rsid w:val="0039464E"/>
    <w:rsid w:val="00423084"/>
    <w:rsid w:val="0046782C"/>
    <w:rsid w:val="0051420E"/>
    <w:rsid w:val="00525433"/>
    <w:rsid w:val="0058264E"/>
    <w:rsid w:val="0059779A"/>
    <w:rsid w:val="005D32CA"/>
    <w:rsid w:val="00642BED"/>
    <w:rsid w:val="006B5BFA"/>
    <w:rsid w:val="006C4287"/>
    <w:rsid w:val="006D6AB1"/>
    <w:rsid w:val="006F7871"/>
    <w:rsid w:val="00717A7D"/>
    <w:rsid w:val="0077511B"/>
    <w:rsid w:val="007E1CDA"/>
    <w:rsid w:val="00871597"/>
    <w:rsid w:val="008C4975"/>
    <w:rsid w:val="009A43AA"/>
    <w:rsid w:val="00A236D0"/>
    <w:rsid w:val="00A71293"/>
    <w:rsid w:val="00AE624C"/>
    <w:rsid w:val="00B03068"/>
    <w:rsid w:val="00B11DAB"/>
    <w:rsid w:val="00B755CB"/>
    <w:rsid w:val="00B81181"/>
    <w:rsid w:val="00BD35CB"/>
    <w:rsid w:val="00C371C4"/>
    <w:rsid w:val="00C443F1"/>
    <w:rsid w:val="00C526D2"/>
    <w:rsid w:val="00C7030A"/>
    <w:rsid w:val="00DB669E"/>
    <w:rsid w:val="00EF4C8A"/>
    <w:rsid w:val="00F30289"/>
    <w:rsid w:val="00F46E4F"/>
    <w:rsid w:val="00F475DC"/>
    <w:rsid w:val="00F531F7"/>
    <w:rsid w:val="00F5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0CE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3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7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77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9779A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59779A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EF4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4C8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Boca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</dc:creator>
  <cp:lastModifiedBy>Admin</cp:lastModifiedBy>
  <cp:revision>4</cp:revision>
  <dcterms:created xsi:type="dcterms:W3CDTF">2010-04-07T07:09:00Z</dcterms:created>
  <dcterms:modified xsi:type="dcterms:W3CDTF">2012-03-15T12:11:00Z</dcterms:modified>
</cp:coreProperties>
</file>